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1" w:rsidRDefault="005D63D1" w:rsidP="005D63D1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861DEB" w:rsidRPr="00C744BB" w:rsidRDefault="00861DEB" w:rsidP="00861DEB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ВНИМАНИЮ ПОТРЕБИТЕЛЯ: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Pr="00C744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Потребительские ожидания в России в III квартале 2019 года</w:t>
      </w:r>
    </w:p>
    <w:p w:rsidR="00861DEB" w:rsidRPr="00C744BB" w:rsidRDefault="00861DEB" w:rsidP="00861DE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4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Росстат представляет итоги выборочного обследования потребительских ожиданий населения за III квартал 2019 года.</w:t>
      </w:r>
    </w:p>
    <w:tbl>
      <w:tblPr>
        <w:tblW w:w="98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  <w:gridCol w:w="138"/>
        <w:gridCol w:w="139"/>
      </w:tblGrid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Индекс потребительской уверенности, отражающий совокупные потребительские ожидания населения, в III квартале 2019 г. по сравнению со II кварталом 2019 г. возрос на 2 процентных пункта и составил (-13%).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Индекс ожидаемых изменений экономической ситуации в России на краткосрочную перспективу повысился с (-10%) во II квартале 2019 года до (-9%) в III квартале 2019 года.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Доля респондентов, положительно </w:t>
            </w:r>
            <w:proofErr w:type="gramStart"/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оценивающих  изменения</w:t>
            </w:r>
            <w:proofErr w:type="gramEnd"/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экономике России в течение следующих 12-ти месяцев, в III квартале 2019 г. по сравнению со II кварталом 2019 г. увеличилась на 1 процентный пункт и составила 16% (во II квартале 2019 г. – 15%). Доля негативных оценок уменьшилась до 28% (во II квартале 2019 г. – 29%). Доля респондентов, считающих, что экономическая ситуация в России останется прежней, возросла до 54% (во II квартале 2019 г. – 52%).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Индекс произошедших изменений в экономике России</w:t>
            </w:r>
            <w:r w:rsidRPr="00C744B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увеличился на 3 процентных пункта и составил (-16%) против (-19%) во II квартале 2019 года.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Доля респондентов, положительно оценивающих произошедшие изменения в экономической ситуации, по сравнению со II кварталом 2019 г. не изменилась и составила 12%. Доля отрицательных оценок снизилась до 39</w:t>
            </w:r>
            <w:proofErr w:type="gramStart"/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%  против</w:t>
            </w:r>
            <w:proofErr w:type="gramEnd"/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42% во II квартале 2019 года. Доля нейтральных оценок увеличилась до 49% (во II квартале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 2019 г. – 46%).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Индекс ожидаемых изменений в личном материальном положении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в III квартале 2019 г. возрос на 1 процентный пункт и составил (-5%) против (-6%) во II квартале 2019 года.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Доля респондентов, ожидающих ухудшения своего материального положения в течение следующих 12-ти месяцев, по сравнению со II кварталом 2019 г. снизилась до 18% против 19% во II квартале 2019 года. Доля нейтральных оценок возросла до 68% (во II квартале 2019 г. – 67%).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Индекс произошедших изменений в личном материальном положении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возрос на 2 процентных пункта и составил (-10%) против (-12%) во II квартале 2019 года. 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Доля респондентов, положительно оценивающих изменения в своем материальном положении в течение года, в III квартале 2019 г. по сравнению со II кварталом 2019 г. уменьшилась на 1 процентный пункт и составила 10%. Доля отрицательных оценок уменьшилась до 27% (во II квартале 2019 г. – 32%). Доля нейтральных оценок возросла до62% (в</w:t>
            </w:r>
            <w:r w:rsidRPr="00C744BB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II квартале 2019 г. – 56%).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Индекс благоприятности условий для крупных покупок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повысился на 1 процентный пункт и составил (-25%) против (-26%) во II квартале 2019 года. </w:t>
            </w: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Индекс благоприятности условий для сбережений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возрос на 1 процентный пункт и составил (-35%) против (-36%) во II квартале 2019 года.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Индекс потребительской уверенности по возрастным группам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процентах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3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1"/>
              <w:gridCol w:w="1779"/>
              <w:gridCol w:w="1794"/>
              <w:gridCol w:w="2069"/>
            </w:tblGrid>
            <w:tr w:rsidR="00861DEB" w:rsidRPr="00C744BB" w:rsidTr="00001BD1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II квартал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  <w:t>2019 г.</w:t>
                  </w:r>
                </w:p>
              </w:tc>
              <w:tc>
                <w:tcPr>
                  <w:tcW w:w="17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III квартал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  <w:t>2019 г.</w:t>
                  </w:r>
                </w:p>
              </w:tc>
              <w:tc>
                <w:tcPr>
                  <w:tcW w:w="20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III квартал 2019 г. ко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  <w:t>II кварталу 2019 г. (+,-)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Молодое поколение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 (в возрасте от 16 до 29 лет)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-10</w:t>
                  </w:r>
                </w:p>
              </w:tc>
              <w:tc>
                <w:tcPr>
                  <w:tcW w:w="17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-7</w:t>
                  </w:r>
                </w:p>
              </w:tc>
              <w:tc>
                <w:tcPr>
                  <w:tcW w:w="20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+3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Лица среднего  возраста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 (от 30 до 49 лет)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-15</w:t>
                  </w:r>
                </w:p>
              </w:tc>
              <w:tc>
                <w:tcPr>
                  <w:tcW w:w="17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-12</w:t>
                  </w:r>
                </w:p>
              </w:tc>
              <w:tc>
                <w:tcPr>
                  <w:tcW w:w="20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+3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Лица старшего возраста 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 (50 лет и более)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-16</w:t>
                  </w:r>
                </w:p>
              </w:tc>
              <w:tc>
                <w:tcPr>
                  <w:tcW w:w="17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-15</w:t>
                  </w:r>
                </w:p>
              </w:tc>
              <w:tc>
                <w:tcPr>
                  <w:tcW w:w="20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+1</w:t>
                  </w:r>
                </w:p>
              </w:tc>
            </w:tr>
          </w:tbl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Индекс ожидаемых изменений экономической ситуации в России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процентах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6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1"/>
              <w:gridCol w:w="1779"/>
              <w:gridCol w:w="2207"/>
              <w:gridCol w:w="1932"/>
            </w:tblGrid>
            <w:tr w:rsidR="00861DEB" w:rsidRPr="00C744BB" w:rsidTr="00001BD1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II квартал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  <w:t>2019 г.</w:t>
                  </w:r>
                </w:p>
              </w:tc>
              <w:tc>
                <w:tcPr>
                  <w:tcW w:w="22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III квартал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  <w:t>2019 г.</w:t>
                  </w:r>
                </w:p>
              </w:tc>
              <w:tc>
                <w:tcPr>
                  <w:tcW w:w="19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III квартал 2019 г. ко 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  <w:t>II кварталу 2019 г. (+,-)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Молодое поколение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 (в возрасте от 16 до 29 лет)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-8</w:t>
                  </w:r>
                </w:p>
              </w:tc>
              <w:tc>
                <w:tcPr>
                  <w:tcW w:w="22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-3</w:t>
                  </w:r>
                </w:p>
              </w:tc>
              <w:tc>
                <w:tcPr>
                  <w:tcW w:w="19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+5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Лица среднего  возраста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 (от 30 до 49 лет)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-10</w:t>
                  </w:r>
                </w:p>
              </w:tc>
              <w:tc>
                <w:tcPr>
                  <w:tcW w:w="22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-10</w:t>
                  </w:r>
                </w:p>
              </w:tc>
              <w:tc>
                <w:tcPr>
                  <w:tcW w:w="19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37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Лица старшего возраста  </w:t>
                  </w: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 (50 лет и более)</w:t>
                  </w:r>
                </w:p>
              </w:tc>
              <w:tc>
                <w:tcPr>
                  <w:tcW w:w="17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-10</w:t>
                  </w:r>
                </w:p>
              </w:tc>
              <w:tc>
                <w:tcPr>
                  <w:tcW w:w="22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-10</w:t>
                  </w:r>
                </w:p>
              </w:tc>
              <w:tc>
                <w:tcPr>
                  <w:tcW w:w="19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</w:tbl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Индекс потребительской уверенности в России и странах ЕС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1)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2"/>
          <w:wAfter w:w="277" w:type="dxa"/>
          <w:trHeight w:val="258"/>
        </w:trPr>
        <w:tc>
          <w:tcPr>
            <w:tcW w:w="95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490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1296"/>
              <w:gridCol w:w="1296"/>
              <w:gridCol w:w="1800"/>
              <w:gridCol w:w="1397"/>
              <w:gridCol w:w="1411"/>
            </w:tblGrid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Май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  <w:t>2019 г.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Август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  <w:t>2019 г.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Май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  <w:t>2019 г.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Август</w:t>
                  </w: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  <w:t>2019 г.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ru-RU"/>
                    </w:rPr>
                    <w:t>Россия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ru-RU"/>
                    </w:rPr>
                    <w:t>-14,6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ru-RU"/>
                    </w:rPr>
                    <w:t>-12,9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Австрия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-2,0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Люксембург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0,3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-0,3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Бельгия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-8,4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-11,4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Мальта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6,6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6,5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Болгария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-25,5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-27,4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Нидерланды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-7,8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-7,8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Великобритания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-8,3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-11,4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Польша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2,6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5,5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Венгрия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-5,0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-2,1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Португалия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-9,7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-8,3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lastRenderedPageBreak/>
                    <w:t>Германия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-1,4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-3,9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Румыния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-9,9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-10,2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Греция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-29,5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-8,2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Словакия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-8,6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-8,7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Дания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6,0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5,1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Словения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-7,9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-9,0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Ирландия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3,2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-6,4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Финляндия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-2,7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-4,8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Испания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-3,7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-6,2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Франция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-9,5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-7,7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Италия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-12,1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-12,9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Хорватия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-2,4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-4,5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Кипр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-8,8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-7,4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Чехия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0,1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2,0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Латвия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-3,6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-3,6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Швеция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-2,0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-1,2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20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Литва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6,3</w:t>
                  </w:r>
                </w:p>
              </w:tc>
              <w:tc>
                <w:tcPr>
                  <w:tcW w:w="12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7,1</w:t>
                  </w:r>
                </w:p>
              </w:tc>
              <w:tc>
                <w:tcPr>
                  <w:tcW w:w="18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Эстония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1,2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2,9</w:t>
                  </w:r>
                </w:p>
              </w:tc>
            </w:tr>
            <w:tr w:rsidR="00861DEB" w:rsidRPr="00C744BB" w:rsidTr="00001BD1">
              <w:trPr>
                <w:trHeight w:val="258"/>
              </w:trPr>
              <w:tc>
                <w:tcPr>
                  <w:tcW w:w="9271" w:type="dxa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1DEB" w:rsidRPr="00C744BB" w:rsidRDefault="00861DEB" w:rsidP="00001BD1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 xml:space="preserve">1) Источник информации: электронная база данных </w:t>
                  </w:r>
                  <w:proofErr w:type="spellStart"/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>Евростата</w:t>
                  </w:r>
                  <w:proofErr w:type="spellEnd"/>
                  <w:r w:rsidRPr="00C744BB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t xml:space="preserve"> (по всем странам, кроме России).</w:t>
                  </w:r>
                </w:p>
              </w:tc>
            </w:tr>
          </w:tbl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gridAfter w:val="1"/>
          <w:wAfter w:w="139" w:type="dxa"/>
          <w:trHeight w:val="401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МЕТОДОЛОГИЧЕСКИЙ КОММЕНТАРИЙ</w:t>
            </w:r>
          </w:p>
        </w:tc>
      </w:tr>
      <w:tr w:rsidR="00861DEB" w:rsidRPr="00C744BB" w:rsidTr="00001BD1">
        <w:trPr>
          <w:gridAfter w:val="1"/>
          <w:wAfter w:w="139" w:type="dxa"/>
          <w:trHeight w:val="258"/>
        </w:trPr>
        <w:tc>
          <w:tcPr>
            <w:tcW w:w="970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1DEB" w:rsidRPr="00C744BB" w:rsidTr="00001BD1">
        <w:trPr>
          <w:trHeight w:val="25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Регулярные опросы потребительского поведения населения в России проводятся Росстатом с 1998 г. ежеквартально (в феврале, мае, августе и ноябре). С 2015 г. в опросе принимают участие 5,1 тыс. человек в возрасте 16 лет и старше, проживающих в частных домохозяйствах, во всех субъектах Российской Федерации.</w:t>
            </w:r>
          </w:p>
        </w:tc>
      </w:tr>
      <w:tr w:rsidR="00861DEB" w:rsidRPr="00C744BB" w:rsidTr="00001BD1">
        <w:trPr>
          <w:trHeight w:val="25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Анкета обследования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включает вопросы о субъективном мнении респондента об общей экономической ситуации и личном материальном положении, о ситуации на рынках товаров (услуг) и сбережений. Ответы респондентов распределяются по следующим вариантам:</w:t>
            </w:r>
          </w:p>
        </w:tc>
      </w:tr>
      <w:tr w:rsidR="00861DEB" w:rsidRPr="00C744BB" w:rsidTr="00001BD1">
        <w:trPr>
          <w:trHeight w:val="96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определенно положительные или определенно отрицательные (очень хорошее, очень благоприятное/очень плохое, совсем неблагоприятное);</w:t>
            </w:r>
          </w:p>
        </w:tc>
      </w:tr>
      <w:tr w:rsidR="00861DEB" w:rsidRPr="00C744BB" w:rsidTr="00001BD1">
        <w:trPr>
          <w:trHeight w:val="96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скорее положительные или скорее отрицательные (хорошее, скорее благоприятное/плохое, скорее неблагоприятное);</w:t>
            </w:r>
          </w:p>
        </w:tc>
      </w:tr>
      <w:tr w:rsidR="00861DEB" w:rsidRPr="00C744BB" w:rsidTr="00001BD1">
        <w:trPr>
          <w:trHeight w:val="484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нейтральные (среднее, «плюсов» и «минусов» одинаково).</w:t>
            </w:r>
          </w:p>
        </w:tc>
      </w:tr>
      <w:tr w:rsidR="00861DEB" w:rsidRPr="00C744BB" w:rsidTr="00001BD1">
        <w:trPr>
          <w:trHeight w:val="96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Согласно методике Европейской Комиссии, рассчитываются значения частных индексов и обобщающего индекса потребительской уверенности населения.</w:t>
            </w:r>
          </w:p>
        </w:tc>
      </w:tr>
      <w:tr w:rsidR="00861DEB" w:rsidRPr="00C744BB" w:rsidTr="00001BD1">
        <w:trPr>
          <w:trHeight w:val="968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Частные индексы  рассчитываются на основе сведения баланса оценок респондентов (в процентах) по соответствующему вопросу анкеты.</w:t>
            </w:r>
          </w:p>
        </w:tc>
      </w:tr>
      <w:tr w:rsidR="00861DEB" w:rsidRPr="00C744BB" w:rsidTr="00001BD1">
        <w:trPr>
          <w:trHeight w:val="1292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Баланс оценок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представляет собой разность между суммой долей (в процентах) определенно положительных и ½ скорее положительных ответов и суммой долей (в процентах) определенно отрицательных и ½ скорее отрицательных ответов. Нейтральные ответы не принимаются во внимание.</w:t>
            </w:r>
          </w:p>
        </w:tc>
      </w:tr>
      <w:tr w:rsidR="00861DEB" w:rsidRPr="00C744BB" w:rsidTr="00001BD1">
        <w:trPr>
          <w:trHeight w:val="1661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Обобщающий (композитный) индекс – </w:t>
            </w:r>
            <w:r w:rsidRPr="00C744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индекс потребительской уверенности</w:t>
            </w: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- рассчитывается как среднее арифметическое значение пяти частных индексов: произошедших и ожидаемых изменений личного материального положения (1 – 2), произошедших и ожидаемых изменений экономической ситуации в России (3 – 4), благоприятности условий для крупных покупок (5).</w:t>
            </w:r>
          </w:p>
        </w:tc>
      </w:tr>
      <w:tr w:rsidR="00861DEB" w:rsidRPr="00C744BB" w:rsidTr="00001BD1">
        <w:trPr>
          <w:trHeight w:val="1935"/>
        </w:trPr>
        <w:tc>
          <w:tcPr>
            <w:tcW w:w="984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DE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44B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Полученная в результате обследования потребительских ожиданий населения информация может быть использована, наряду с количественными статистическими данными, для анализа поведенческой модели населения на потребительском рынке, а также при оценке влияния потребительской активности на состояние экономики в целом.</w:t>
            </w:r>
          </w:p>
          <w:p w:rsidR="00861DEB" w:rsidRPr="00C744BB" w:rsidRDefault="00861DEB" w:rsidP="00001BD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73E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http://souz-potrebiteley.ru/main/news/</w:t>
            </w:r>
          </w:p>
        </w:tc>
      </w:tr>
    </w:tbl>
    <w:p w:rsidR="0006331D" w:rsidRDefault="0006331D" w:rsidP="0006331D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 w:type="page"/>
      </w:r>
    </w:p>
    <w:p w:rsidR="007C7956" w:rsidRDefault="007C7956"/>
    <w:sectPr w:rsidR="007C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4C"/>
    <w:rsid w:val="0006331D"/>
    <w:rsid w:val="005D63D1"/>
    <w:rsid w:val="007C7956"/>
    <w:rsid w:val="00861DEB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5EBE"/>
  <w15:chartTrackingRefBased/>
  <w15:docId w15:val="{F7F293D6-987D-4254-A8ED-3D74E481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2019-11-22T08:12:00Z</dcterms:created>
  <dcterms:modified xsi:type="dcterms:W3CDTF">2019-11-22T08:12:00Z</dcterms:modified>
</cp:coreProperties>
</file>